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bookmarkStart w:id="0" w:name="_GoBack"/>
      <w:bookmarkEnd w:id="0"/>
      <w:r>
        <w:t xml:space="preserve">MEMO TO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</w:p>
    <w:p>
      <w:pPr>
        <w:rPr>
          <w:b/>
        </w:rPr>
      </w:pPr>
    </w:p>
    <w:p>
      <w:r>
        <w:rPr>
          <w:b/>
        </w:rPr>
        <w:t>From:</w:t>
      </w:r>
      <w:r>
        <w:tab/>
      </w:r>
      <w:r>
        <w:tab/>
      </w:r>
      <w:r>
        <w:tab/>
        <w:t>[MAT:FeName]</w:t>
      </w:r>
    </w:p>
    <w:p>
      <w:pPr>
        <w:rPr>
          <w:b/>
        </w:rPr>
      </w:pPr>
    </w:p>
    <w:p>
      <w:r>
        <w:rPr>
          <w:b/>
        </w:rPr>
        <w:t>Re:</w:t>
      </w:r>
      <w:r>
        <w:tab/>
      </w:r>
      <w:r>
        <w:tab/>
      </w:r>
      <w:r>
        <w:tab/>
        <w:t>[CNT:Name]</w:t>
      </w:r>
    </w:p>
    <w:p>
      <w:pPr>
        <w:ind w:left="2160"/>
      </w:pPr>
      <w:r>
        <w:t>[CAN:Name.Deceased#01], [CAN:LinearAddress.Deceased#01]</w:t>
      </w:r>
    </w:p>
    <w:p>
      <w:pPr>
        <w:rPr>
          <w:b/>
        </w:rPr>
      </w:pPr>
    </w:p>
    <w:p>
      <w:pPr>
        <w:rPr>
          <w:b/>
        </w:rPr>
      </w:pPr>
      <w:r>
        <w:rPr>
          <w:b/>
        </w:rPr>
        <w:t xml:space="preserve">Date </w:t>
      </w:r>
      <w:r>
        <w:tab/>
      </w:r>
      <w:r>
        <w:tab/>
      </w:r>
      <w:r>
        <w:tab/>
        <w:t>[DATE:TODAY]</w:t>
      </w:r>
    </w:p>
    <w:p>
      <w:pPr>
        <w:pBdr>
          <w:bottom w:val="single" w:sz="12" w:space="1" w:color="auto"/>
        </w:pBdr>
        <w:jc w:val="center"/>
        <w:rPr>
          <w:b/>
        </w:rPr>
      </w:pPr>
    </w:p>
    <w:p>
      <w:pPr>
        <w:pBdr>
          <w:bottom w:val="single" w:sz="12" w:space="1" w:color="auto"/>
        </w:pBdr>
      </w:pPr>
      <w:r>
        <w:rPr>
          <w:b/>
        </w:rPr>
        <w:t>Ref:</w:t>
      </w:r>
      <w:r>
        <w:tab/>
      </w:r>
      <w:r>
        <w:tab/>
      </w:r>
      <w:r>
        <w:tab/>
        <w:t>[MAT:Code]/[MAT:FeCode]</w:t>
      </w:r>
    </w:p>
    <w:p>
      <w:pPr>
        <w:pBdr>
          <w:bottom w:val="single" w:sz="12" w:space="1" w:color="auto"/>
        </w:pBdr>
        <w:rPr>
          <w:b/>
        </w:rPr>
      </w:pPr>
    </w:p>
    <w:p>
      <w:pPr>
        <w:jc w:val="both"/>
      </w:pPr>
    </w:p>
    <w:p>
      <w:pPr>
        <w:jc w:val="both"/>
      </w:pP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</w:p>
    <w:p>
      <w:pPr>
        <w:jc w:val="both"/>
      </w:pPr>
    </w:p>
    <w:p>
      <w:pPr>
        <w:jc w:val="both"/>
      </w:pPr>
      <w:r>
        <w:t xml:space="preserve"> I enclose herewith the following:</w:t>
      </w:r>
    </w:p>
    <w:p>
      <w:pPr>
        <w:jc w:val="both"/>
      </w:pPr>
    </w:p>
    <w:p>
      <w:pPr>
        <w:numPr>
          <w:ilvl w:val="0"/>
          <w:numId w:val="1"/>
        </w:numPr>
        <w:jc w:val="both"/>
      </w:pPr>
      <w:r>
        <w:t>Inland Revenue Affidavit in duplicate</w:t>
      </w:r>
    </w:p>
    <w:p>
      <w:pPr>
        <w:numPr>
          <w:ilvl w:val="0"/>
          <w:numId w:val="1"/>
        </w:numPr>
        <w:jc w:val="both"/>
      </w:pPr>
      <w:r>
        <w:t>Oath for Administrator</w:t>
      </w:r>
    </w:p>
    <w:p>
      <w:pPr>
        <w:numPr>
          <w:ilvl w:val="0"/>
          <w:numId w:val="1"/>
        </w:numPr>
        <w:jc w:val="both"/>
      </w:pPr>
      <w:r>
        <w:t>Copy Oath for Administrator</w:t>
      </w:r>
    </w:p>
    <w:p>
      <w:pPr>
        <w:numPr>
          <w:ilvl w:val="0"/>
          <w:numId w:val="1"/>
        </w:numPr>
        <w:jc w:val="both"/>
      </w:pPr>
      <w:r>
        <w:t>Administration Bond</w:t>
      </w:r>
    </w:p>
    <w:p>
      <w:pPr>
        <w:numPr>
          <w:ilvl w:val="0"/>
          <w:numId w:val="1"/>
        </w:numPr>
        <w:jc w:val="both"/>
      </w:pPr>
      <w:r>
        <w:t>Copy Administration Bond</w:t>
      </w:r>
    </w:p>
    <w:p>
      <w:pPr>
        <w:numPr>
          <w:ilvl w:val="0"/>
          <w:numId w:val="1"/>
        </w:numPr>
        <w:jc w:val="both"/>
      </w:pPr>
      <w:r>
        <w:t>Original Death Certificate</w:t>
      </w:r>
    </w:p>
    <w:p>
      <w:pPr>
        <w:numPr>
          <w:ilvl w:val="0"/>
          <w:numId w:val="1"/>
        </w:numPr>
        <w:jc w:val="both"/>
      </w:pPr>
      <w:r>
        <w:t>Copy Death Certificate</w:t>
      </w:r>
    </w:p>
    <w:p>
      <w:pPr>
        <w:numPr>
          <w:ilvl w:val="0"/>
          <w:numId w:val="1"/>
        </w:numPr>
        <w:jc w:val="both"/>
        <w:rPr>
          <w:i/>
        </w:rPr>
      </w:pPr>
      <w:r>
        <w:rPr>
          <w:i/>
        </w:rPr>
        <w:t>Certificate of Valuation on property</w:t>
      </w:r>
    </w:p>
    <w:p>
      <w:pPr>
        <w:numPr>
          <w:ilvl w:val="0"/>
          <w:numId w:val="1"/>
        </w:numPr>
        <w:jc w:val="both"/>
        <w:rPr>
          <w:i/>
        </w:rPr>
      </w:pPr>
      <w:r>
        <w:rPr>
          <w:i/>
        </w:rPr>
        <w:t>Affidavit of Testamentary Capacity</w:t>
      </w:r>
    </w:p>
    <w:p>
      <w:pPr>
        <w:numPr>
          <w:ilvl w:val="0"/>
          <w:numId w:val="1"/>
        </w:numPr>
        <w:jc w:val="both"/>
        <w:rPr>
          <w:i/>
        </w:rPr>
      </w:pPr>
      <w:r>
        <w:rPr>
          <w:i/>
        </w:rPr>
        <w:t>Affidavit of Mental Capacity</w:t>
      </w:r>
    </w:p>
    <w:p>
      <w:pPr>
        <w:numPr>
          <w:ilvl w:val="0"/>
          <w:numId w:val="1"/>
        </w:numPr>
        <w:jc w:val="both"/>
      </w:pPr>
      <w:r>
        <w:t>Cheque for fees in the sum of €</w:t>
      </w:r>
    </w:p>
    <w:p>
      <w:pPr>
        <w:jc w:val="both"/>
      </w:pPr>
    </w:p>
    <w:p>
      <w:pPr>
        <w:jc w:val="both"/>
      </w:pPr>
      <w:r>
        <w:t>Please bespeak two copy Grants also.</w:t>
      </w:r>
    </w:p>
    <w:p>
      <w:pPr>
        <w:jc w:val="both"/>
      </w:pPr>
    </w:p>
    <w:p>
      <w:pPr>
        <w:jc w:val="both"/>
      </w:pPr>
    </w:p>
    <w:p>
      <w:pPr>
        <w:jc w:val="both"/>
        <w:rPr>
          <w:b/>
          <w:bCs/>
        </w:rPr>
      </w:pPr>
      <w:r>
        <w:rPr>
          <w:b/>
          <w:bCs/>
        </w:rPr>
        <w:t>________________________</w:t>
      </w:r>
    </w:p>
    <w:p>
      <w:pPr>
        <w:jc w:val="both"/>
      </w:pPr>
      <w:r>
        <w:t>[MAT:FeName]</w:t>
      </w:r>
    </w:p>
    <w:p>
      <w:pPr>
        <w:jc w:val="both"/>
      </w:pPr>
      <w:r>
        <w:t>[DIA:CompanyName]</w:t>
      </w:r>
    </w:p>
    <w:p>
      <w:pPr>
        <w:jc w:val="both"/>
      </w:pPr>
      <w:r>
        <w:rPr>
          <w:b/>
          <w:bCs/>
        </w:rPr>
        <w:br w:type="page"/>
      </w:r>
    </w:p>
    <w:p>
      <w:pPr>
        <w:jc w:val="both"/>
      </w:pPr>
    </w:p>
    <w:p>
      <w:pPr>
        <w:pStyle w:val="NormalWeb"/>
        <w:shd w:val="clear" w:color="auto" w:fill="FFFFFF"/>
        <w:spacing w:before="0" w:beforeAutospacing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Where the net value of the estate exceeds €300,000.00 :-</w:t>
      </w:r>
    </w:p>
    <w:p>
      <w:pPr>
        <w:pStyle w:val="NormalWeb"/>
        <w:shd w:val="clear" w:color="auto" w:fill="FFFFFF"/>
        <w:spacing w:before="0" w:beforeAutospacing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(i) for the first €300,000.00, a fee of €303.00 is payable</w:t>
      </w:r>
    </w:p>
    <w:p>
      <w:pPr>
        <w:pStyle w:val="NormalWeb"/>
        <w:shd w:val="clear" w:color="auto" w:fill="FFFFFF"/>
        <w:spacing w:before="0" w:beforeAutospacing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and</w:t>
      </w:r>
    </w:p>
    <w:p>
      <w:pPr>
        <w:pStyle w:val="NormalWeb"/>
        <w:shd w:val="clear" w:color="auto" w:fill="FFFFFF"/>
        <w:spacing w:before="0" w:beforeAutospacing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(ii) for every €31,250.00 or fraction thereof by which the value exceeds €300,000.00 a further fee of €12.00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Style w:val="Emphasis"/>
          <w:rFonts w:ascii="Verdana" w:hAnsi="Verdana"/>
          <w:color w:val="000000"/>
          <w:sz w:val="20"/>
          <w:szCs w:val="20"/>
        </w:rPr>
        <w:t>e.g.</w:t>
      </w:r>
      <w:r>
        <w:rPr>
          <w:rFonts w:ascii="Verdana" w:hAnsi="Verdana"/>
          <w:i/>
          <w:iCs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t>€331,250.00 (€315.00)</w:t>
      </w:r>
    </w:p>
    <w:p>
      <w:pPr>
        <w:pStyle w:val="NormalWeb"/>
        <w:shd w:val="clear" w:color="auto" w:fill="FFFFFF"/>
        <w:spacing w:before="0" w:beforeAutospacing="0"/>
        <w:rPr>
          <w:rFonts w:ascii="Verdana" w:hAnsi="Verdana"/>
          <w:color w:val="000000"/>
          <w:sz w:val="20"/>
          <w:szCs w:val="20"/>
        </w:rPr>
      </w:pPr>
    </w:p>
    <w:p>
      <w:pPr>
        <w:jc w:val="both"/>
        <w:rPr>
          <w:b/>
          <w:bCs/>
        </w:rPr>
      </w:pPr>
      <w:r>
        <w:t>Total Estate €2,241,204.00</w:t>
      </w: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  <w:r>
        <w:rPr>
          <w:b/>
          <w:bCs/>
        </w:rPr>
        <w:t>First €300,000.00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</w:rPr>
        <w:t>€303.00</w:t>
      </w: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  <w:r>
        <w:rPr>
          <w:b/>
          <w:bCs/>
        </w:rPr>
        <w:t>Balance of 1,941,204.00 divided by €31,250.00 =62.11 so say 63</w:t>
      </w:r>
    </w:p>
    <w:p>
      <w:pPr>
        <w:jc w:val="both"/>
        <w:rPr>
          <w:b/>
          <w:bCs/>
        </w:rPr>
      </w:pPr>
      <w:r>
        <w:rPr>
          <w:b/>
          <w:bCs/>
        </w:rPr>
        <w:t xml:space="preserve">63 x €12.00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</w:rPr>
        <w:t>€756.00</w:t>
      </w: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  <w:r>
        <w:rPr>
          <w:b/>
          <w:bCs/>
        </w:rPr>
        <w:t xml:space="preserve">Fee for certified copies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</w:rPr>
        <w:t>€24.00</w:t>
      </w: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  <w:r>
        <w:rPr>
          <w:b/>
          <w:bCs/>
        </w:rPr>
        <w:t xml:space="preserve">Total DMD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</w:rPr>
        <w:t xml:space="preserve">         €1,083.00</w:t>
      </w:r>
    </w:p>
    <w:sectPr>
      <w:pgSz w:w="11906" w:h="16838"/>
      <w:pgMar w:top="1440" w:right="1440" w:bottom="144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52023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42970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AE559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0E189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2E4F9D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BA15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C2DE5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10B26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9299A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6464A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DC011C9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7FA77A1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2" w15:restartNumberingAfterBreak="0">
    <w:nsid w:val="6F9B513D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A8358CC"/>
    <w:multiLevelType w:val="hybridMultilevel"/>
    <w:tmpl w:val="5626682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15A76B-71F2-4739-9430-FA6FA3E4B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4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Cs w:val="20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lang w:val="en-IE" w:eastAsia="en-IE"/>
    </w:rPr>
  </w:style>
  <w:style w:type="character" w:styleId="Emphasis">
    <w:name w:val="Emphasis"/>
    <w:uiPriority w:val="20"/>
    <w:qFormat/>
    <w:rPr>
      <w:i/>
      <w:iCs/>
    </w:rPr>
  </w:style>
  <w:style w:type="numbering" w:styleId="111111">
    <w:name w:val="Outline List 2"/>
    <w:basedOn w:val="NoList"/>
    <w:uiPriority w:val="99"/>
    <w:semiHidden/>
    <w:unhideWhenUsed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3"/>
      </w:numPr>
    </w:pPr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mbria" w:eastAsia="Times New Roman" w:hAnsi="Cambria" w:cs="Times New Roman"/>
      <w:sz w:val="22"/>
      <w:szCs w:val="22"/>
      <w:lang w:val="en-GB" w:eastAsia="en-US"/>
    </w:rPr>
  </w:style>
  <w:style w:type="numbering" w:styleId="ArticleSection">
    <w:name w:val="Outline List 3"/>
    <w:basedOn w:val="NoList"/>
    <w:uiPriority w:val="99"/>
    <w:semiHidden/>
    <w:unhideWhenUsed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  <w:lang w:val="en-GB"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b/>
      <w:bCs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sz w:val="24"/>
      <w:szCs w:val="24"/>
      <w:lang w:val="en-GB" w:eastAsia="en-US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Pr>
      <w:lang w:val="en-GB"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uiPriority w:val="99"/>
    <w:semiHidden/>
    <w:unhideWhenUsed/>
    <w:rPr>
      <w:rFonts w:ascii="Cambria" w:hAnsi="Cambria"/>
      <w:sz w:val="20"/>
      <w:szCs w:val="20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Pr>
      <w:sz w:val="24"/>
      <w:szCs w:val="24"/>
      <w:lang w:val="en-GB" w:eastAsia="en-US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Pr>
      <w:sz w:val="24"/>
      <w:szCs w:val="24"/>
      <w:lang w:val="en-GB" w:eastAsia="en-US"/>
    </w:rPr>
  </w:style>
  <w:style w:type="character" w:styleId="HTMLAcronym">
    <w:name w:val="HTML Acronym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i/>
      <w:iCs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Pr>
      <w:i/>
      <w:iCs/>
    </w:rPr>
  </w:style>
  <w:style w:type="character" w:styleId="HTMLCode">
    <w:name w:val="HTML Code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unhideWhenUsed/>
    <w:rPr>
      <w:i/>
      <w:iCs/>
    </w:rPr>
  </w:style>
  <w:style w:type="character" w:styleId="HTMLKeyboard">
    <w:name w:val="HTML Keyboard"/>
    <w:uiPriority w:val="99"/>
    <w:semiHidden/>
    <w:unhideWhenUsed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  <w:lang w:val="en-GB" w:eastAsia="en-US"/>
    </w:rPr>
  </w:style>
  <w:style w:type="character" w:styleId="HTMLSample">
    <w:name w:val="HTML Sample"/>
    <w:uiPriority w:val="99"/>
    <w:semiHidden/>
    <w:unhideWhenUsed/>
    <w:rPr>
      <w:rFonts w:ascii="Courier New" w:hAnsi="Courier New" w:cs="Courier New"/>
    </w:rPr>
  </w:style>
  <w:style w:type="character" w:styleId="HTMLTypewriter">
    <w:name w:val="HTML Typewrite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Variable">
    <w:name w:val="HTML Variable"/>
    <w:uiPriority w:val="99"/>
    <w:semiHidden/>
    <w:unhideWhenUsed/>
    <w:rPr>
      <w:i/>
      <w:iCs/>
    </w:rPr>
  </w:style>
  <w:style w:type="character" w:styleId="Hyperlink">
    <w:name w:val="Hyperlink"/>
    <w:uiPriority w:val="99"/>
    <w:semiHidden/>
    <w:unhideWhenUsed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pPr>
      <w:numPr>
        <w:numId w:val="11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pPr>
      <w:numPr>
        <w:numId w:val="12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13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Courier New" w:hAnsi="Courier New" w:cs="Courier New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uiPriority w:val="99"/>
    <w:semiHidden/>
    <w:rPr>
      <w:rFonts w:ascii="Cambria" w:eastAsia="Times New Roman" w:hAnsi="Cambria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sz w:val="24"/>
      <w:szCs w:val="24"/>
      <w:lang w:val="en-GB" w:eastAsia="en-US"/>
    </w:rPr>
  </w:style>
  <w:style w:type="character" w:styleId="PageNumber">
    <w:name w:val="page number"/>
    <w:uiPriority w:val="99"/>
    <w:semiHidden/>
    <w:unhideWhenUsed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sz w:val="24"/>
      <w:szCs w:val="24"/>
      <w:lang w:val="en-GB" w:eastAsia="en-US"/>
    </w:rPr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Pr>
      <w:rFonts w:ascii="Cambria" w:eastAsia="Times New Roman" w:hAnsi="Cambria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uiPriority w:val="99"/>
    <w:semiHidden/>
    <w:unhideWhenUsed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76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 TO TONY</vt:lpstr>
    </vt:vector>
  </TitlesOfParts>
  <Company>KEYSPARE</Company>
  <LinksUpToDate>false</LinksUpToDate>
  <CharactersWithSpaces>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TO TONY</dc:title>
  <dc:subject/>
  <dc:creator>elawlor</dc:creator>
  <cp:keywords/>
  <cp:lastModifiedBy>Art Kavanagh</cp:lastModifiedBy>
  <cp:revision>6</cp:revision>
  <cp:lastPrinted>2013-08-08T08:03:00Z</cp:lastPrinted>
  <dcterms:created xsi:type="dcterms:W3CDTF">2019-05-13T15:43:00Z</dcterms:created>
  <dcterms:modified xsi:type="dcterms:W3CDTF">2020-07-02T14:02:00Z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155185</vt:lpwstr>
  </property>
  <property fmtid="{D5CDD505-2E9C-101B-9397-08002B2CF9AE}" pid="3" name="KeyhouseMatterReference">
    <vt:lpwstr>CAR001/0002</vt:lpwstr>
  </property>
</Properties>
</file>